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40" w:lineRule="atLeast"/>
        <w:ind w:left="960" w:right="0" w:hanging="24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○毛呂山町地域コミュニティづくり補助金交付要綱</w:t>
      </w:r>
    </w:p>
    <w:p>
      <w:pPr>
        <w:pStyle w:val="0"/>
        <w:spacing w:before="0" w:beforeLines="0" w:beforeAutospacing="0" w:after="0" w:afterLines="0" w:afterAutospacing="0" w:line="24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平成２８年１月２２日</w:t>
      </w:r>
    </w:p>
    <w:p>
      <w:pPr>
        <w:pStyle w:val="0"/>
        <w:spacing w:before="0" w:beforeLines="0" w:beforeAutospacing="0" w:after="0" w:afterLines="0" w:afterAutospacing="0" w:line="24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告示第６号</w:t>
      </w:r>
    </w:p>
    <w:p>
      <w:pPr>
        <w:pStyle w:val="0"/>
        <w:spacing w:before="0" w:beforeLines="0" w:beforeAutospacing="0" w:after="0" w:afterLines="0" w:afterAutospacing="0" w:line="24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改正　令和４年３月３１日告示第５５号</w:t>
      </w:r>
    </w:p>
    <w:p>
      <w:pPr>
        <w:pStyle w:val="0"/>
        <w:spacing w:before="0" w:beforeLines="0" w:beforeAutospacing="0" w:after="0" w:afterLines="0" w:afterAutospacing="0" w:line="24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改正　令和</w:t>
      </w:r>
      <w:r>
        <w:rPr>
          <w:rFonts w:hint="eastAsia" w:ascii="ＭＳ 明朝" w:hAnsi="ＭＳ 明朝" w:eastAsia="ＭＳ 明朝"/>
          <w:b w:val="0"/>
          <w:i w:val="0"/>
          <w:strike w:val="0"/>
          <w:color w:val="000000"/>
          <w:sz w:val="24"/>
          <w:u w:val="none" w:color="auto"/>
        </w:rPr>
        <w:t>７</w:t>
      </w:r>
      <w:r>
        <w:rPr>
          <w:rFonts w:hint="default" w:ascii="ＭＳ 明朝" w:hAnsi="ＭＳ 明朝" w:eastAsia="ＭＳ 明朝"/>
          <w:b w:val="0"/>
          <w:i w:val="0"/>
          <w:strike w:val="0"/>
          <w:color w:val="000000"/>
          <w:sz w:val="24"/>
          <w:u w:val="none" w:color="auto"/>
        </w:rPr>
        <w:t>年３月３１日告示第</w:t>
      </w:r>
      <w:r>
        <w:rPr>
          <w:rFonts w:hint="eastAsia" w:ascii="ＭＳ 明朝" w:hAnsi="ＭＳ 明朝" w:eastAsia="ＭＳ 明朝"/>
          <w:b w:val="0"/>
          <w:i w:val="0"/>
          <w:strike w:val="0"/>
          <w:color w:val="000000"/>
          <w:sz w:val="24"/>
          <w:u w:val="none" w:color="auto"/>
        </w:rPr>
        <w:t>　　</w:t>
      </w:r>
      <w:r>
        <w:rPr>
          <w:rFonts w:hint="default" w:ascii="ＭＳ 明朝" w:hAnsi="ＭＳ 明朝" w:eastAsia="ＭＳ 明朝"/>
          <w:b w:val="0"/>
          <w:i w:val="0"/>
          <w:strike w:val="0"/>
          <w:color w:val="000000"/>
          <w:sz w:val="24"/>
          <w:u w:val="none" w:color="auto"/>
        </w:rPr>
        <w:t>号</w:t>
      </w:r>
    </w:p>
    <w:p>
      <w:pPr>
        <w:pStyle w:val="0"/>
        <w:spacing w:before="0" w:beforeLines="0" w:beforeAutospacing="0" w:after="0" w:afterLines="0" w:afterAutospacing="0" w:line="24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改正　令和</w:t>
      </w:r>
      <w:r>
        <w:rPr>
          <w:rFonts w:hint="eastAsia" w:ascii="ＭＳ 明朝" w:hAnsi="ＭＳ 明朝" w:eastAsia="ＭＳ 明朝"/>
          <w:b w:val="0"/>
          <w:i w:val="0"/>
          <w:strike w:val="0"/>
          <w:color w:val="000000"/>
          <w:sz w:val="24"/>
          <w:u w:val="none" w:color="auto"/>
        </w:rPr>
        <w:t>８</w:t>
      </w:r>
      <w:r>
        <w:rPr>
          <w:rFonts w:hint="default" w:ascii="ＭＳ 明朝" w:hAnsi="ＭＳ 明朝" w:eastAsia="ＭＳ 明朝"/>
          <w:b w:val="0"/>
          <w:i w:val="0"/>
          <w:strike w:val="0"/>
          <w:color w:val="000000"/>
          <w:sz w:val="24"/>
          <w:u w:val="none" w:color="auto"/>
        </w:rPr>
        <w:t>年３月３１日告示第</w:t>
      </w:r>
      <w:r>
        <w:rPr>
          <w:rFonts w:hint="eastAsia" w:ascii="ＭＳ 明朝" w:hAnsi="ＭＳ 明朝" w:eastAsia="ＭＳ 明朝"/>
          <w:b w:val="0"/>
          <w:i w:val="0"/>
          <w:strike w:val="0"/>
          <w:color w:val="000000"/>
          <w:sz w:val="24"/>
          <w:u w:val="none" w:color="auto"/>
        </w:rPr>
        <w:t>　　</w:t>
      </w:r>
      <w:r>
        <w:rPr>
          <w:rFonts w:hint="default" w:ascii="ＭＳ 明朝" w:hAnsi="ＭＳ 明朝" w:eastAsia="ＭＳ 明朝"/>
          <w:b w:val="0"/>
          <w:i w:val="0"/>
          <w:strike w:val="0"/>
          <w:color w:val="000000"/>
          <w:sz w:val="24"/>
          <w:u w:val="none" w:color="auto"/>
        </w:rPr>
        <w:t>号</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（趣旨）</w:t>
      </w:r>
      <w:bookmarkStart w:id="0" w:name="_GoBack"/>
      <w:bookmarkEnd w:id="0"/>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第１条　この要綱は、地域住民が主体的に地域課題の解決や地域コミュニティの活性化に取り組み、安全で安心して暮らすことのできる自主自立のまちづくりを推進するため、地域コミュニティづくり補助金（以下「補助金」という。）に関し、毛呂山町補助金等交付規則（平成２３年毛呂山町規則第１号）に定めるもののほか必要な事項を定めるものとする。</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（補助の対象）</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第２条　補助金の交付対象団体（以下「補助対象団体」という。）は、次の各号のいずれかに該当する団体とする。</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(1) </w:t>
      </w:r>
      <w:r>
        <w:rPr>
          <w:rFonts w:hint="default" w:ascii="ＭＳ 明朝" w:hAnsi="ＭＳ 明朝" w:eastAsia="ＭＳ 明朝"/>
          <w:b w:val="0"/>
          <w:i w:val="0"/>
          <w:strike w:val="0"/>
          <w:color w:val="000000"/>
          <w:sz w:val="24"/>
          <w:u w:val="none" w:color="auto"/>
        </w:rPr>
        <w:t>行政区</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(2) </w:t>
      </w:r>
      <w:r>
        <w:rPr>
          <w:rFonts w:hint="default" w:ascii="ＭＳ 明朝" w:hAnsi="ＭＳ 明朝" w:eastAsia="ＭＳ 明朝"/>
          <w:b w:val="0"/>
          <w:i w:val="0"/>
          <w:strike w:val="0"/>
          <w:color w:val="000000"/>
          <w:sz w:val="24"/>
          <w:u w:val="none" w:color="auto"/>
        </w:rPr>
        <w:t>地域住民が組織する団体で、特に町長が認める団体</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（補助対象事業）</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第３条　補助対象事業は、補助対象団体の事業であって、次に掲げるものとする。ただし、当該事業が他の補助金等の交付対象となっている場合は、補助対象事業とならないものとする。</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(1) </w:t>
      </w:r>
      <w:r>
        <w:rPr>
          <w:rFonts w:hint="default" w:ascii="ＭＳ 明朝" w:hAnsi="ＭＳ 明朝" w:eastAsia="ＭＳ 明朝"/>
          <w:b w:val="0"/>
          <w:i w:val="0"/>
          <w:strike w:val="0"/>
          <w:color w:val="000000"/>
          <w:sz w:val="24"/>
          <w:u w:val="none" w:color="auto"/>
        </w:rPr>
        <w:t>安心・安全な地域づくりを図るための事業</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(2) </w:t>
      </w:r>
      <w:r>
        <w:rPr>
          <w:rFonts w:hint="default" w:ascii="ＭＳ 明朝" w:hAnsi="ＭＳ 明朝" w:eastAsia="ＭＳ 明朝"/>
          <w:b w:val="0"/>
          <w:i w:val="0"/>
          <w:strike w:val="0"/>
          <w:color w:val="000000"/>
          <w:sz w:val="24"/>
          <w:u w:val="none" w:color="auto"/>
        </w:rPr>
        <w:t>地域の福祉・健康づくりを図る事業</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(3) </w:t>
      </w:r>
      <w:r>
        <w:rPr>
          <w:rFonts w:hint="default" w:ascii="ＭＳ 明朝" w:hAnsi="ＭＳ 明朝" w:eastAsia="ＭＳ 明朝"/>
          <w:b w:val="0"/>
          <w:i w:val="0"/>
          <w:strike w:val="0"/>
          <w:color w:val="000000"/>
          <w:sz w:val="24"/>
          <w:u w:val="none" w:color="auto"/>
        </w:rPr>
        <w:t>青少年の健全育成を図る事業</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(4) </w:t>
      </w:r>
      <w:r>
        <w:rPr>
          <w:rFonts w:hint="default" w:ascii="ＭＳ 明朝" w:hAnsi="ＭＳ 明朝" w:eastAsia="ＭＳ 明朝"/>
          <w:b w:val="0"/>
          <w:i w:val="0"/>
          <w:strike w:val="0"/>
          <w:color w:val="000000"/>
          <w:sz w:val="24"/>
          <w:u w:val="none" w:color="auto"/>
        </w:rPr>
        <w:t>地域の連帯感の醸成につながる事業</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(5) </w:t>
      </w:r>
      <w:r>
        <w:rPr>
          <w:rFonts w:hint="default" w:ascii="ＭＳ 明朝" w:hAnsi="ＭＳ 明朝" w:eastAsia="ＭＳ 明朝"/>
          <w:b w:val="0"/>
          <w:i w:val="0"/>
          <w:strike w:val="0"/>
          <w:color w:val="000000"/>
          <w:sz w:val="24"/>
          <w:u w:val="none" w:color="auto"/>
        </w:rPr>
        <w:t>前各号に掲げるもののほか、特に町長が認める事業</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（対象経費）</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第４条　補助金の交付対象となる経費は、補助金の目的を達成するために直接必要な経費とする。ただし、次の各号に掲げる経費は補助対象としない。</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(1) </w:t>
      </w:r>
      <w:r>
        <w:rPr>
          <w:rFonts w:hint="default" w:ascii="ＭＳ 明朝" w:hAnsi="ＭＳ 明朝" w:eastAsia="ＭＳ 明朝"/>
          <w:b w:val="0"/>
          <w:i w:val="0"/>
          <w:strike w:val="0"/>
          <w:color w:val="000000"/>
          <w:sz w:val="24"/>
          <w:u w:val="none" w:color="auto"/>
        </w:rPr>
        <w:t>補助対象団体の管理及び運営に要する経常的な経費</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(2) </w:t>
      </w:r>
      <w:r>
        <w:rPr>
          <w:rFonts w:hint="default" w:ascii="ＭＳ 明朝" w:hAnsi="ＭＳ 明朝" w:eastAsia="ＭＳ 明朝"/>
          <w:b w:val="0"/>
          <w:i w:val="0"/>
          <w:strike w:val="0"/>
          <w:color w:val="000000"/>
          <w:sz w:val="24"/>
          <w:u w:val="none" w:color="auto"/>
        </w:rPr>
        <w:t>補助対象団体の構成員に対する食料費。ただし、事業実施に必要欠くことのできないものは対象とする。</w:t>
      </w:r>
    </w:p>
    <w:p>
      <w:pPr>
        <w:pStyle w:val="0"/>
        <w:spacing w:before="0" w:beforeLines="0" w:beforeAutospacing="0" w:after="0" w:afterLines="0" w:afterAutospacing="0" w:line="24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(3) </w:t>
      </w:r>
      <w:r>
        <w:rPr>
          <w:rFonts w:hint="default" w:ascii="ＭＳ 明朝" w:hAnsi="ＭＳ 明朝" w:eastAsia="ＭＳ 明朝"/>
          <w:b w:val="0"/>
          <w:i w:val="0"/>
          <w:strike w:val="0"/>
          <w:color w:val="000000"/>
          <w:sz w:val="24"/>
          <w:u w:val="none" w:color="auto"/>
        </w:rPr>
        <w:t>その他町長が適当でないと認めた経費</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（補助金額）</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FF0000"/>
          <w:u w:val="none" w:color="auto"/>
        </w:rPr>
      </w:pPr>
      <w:r>
        <w:rPr>
          <w:rFonts w:hint="default" w:ascii="ＭＳ 明朝" w:hAnsi="ＭＳ 明朝" w:eastAsia="ＭＳ 明朝"/>
          <w:b w:val="0"/>
          <w:i w:val="0"/>
          <w:strike w:val="0"/>
          <w:color w:val="000000"/>
          <w:sz w:val="24"/>
          <w:u w:val="none" w:color="auto"/>
        </w:rPr>
        <w:t>第５条　補助金の額は、対象経費について１事業につき、</w:t>
      </w:r>
      <w:r>
        <w:rPr>
          <w:rFonts w:hint="eastAsia" w:ascii="ＭＳ 明朝" w:hAnsi="ＭＳ 明朝" w:eastAsia="ＭＳ 明朝"/>
          <w:b w:val="0"/>
          <w:i w:val="0"/>
          <w:strike w:val="0"/>
          <w:color w:val="FF0000"/>
          <w:sz w:val="24"/>
          <w:u w:val="none" w:color="auto"/>
        </w:rPr>
        <w:t>補助対象額のうち３分の２に相当する額とし、１０</w:t>
      </w:r>
      <w:r>
        <w:rPr>
          <w:rFonts w:hint="default" w:ascii="ＭＳ 明朝" w:hAnsi="ＭＳ 明朝" w:eastAsia="ＭＳ 明朝"/>
          <w:b w:val="0"/>
          <w:i w:val="0"/>
          <w:strike w:val="0"/>
          <w:color w:val="FF0000"/>
          <w:sz w:val="24"/>
          <w:u w:val="none" w:color="auto"/>
        </w:rPr>
        <w:t>万円を</w:t>
      </w:r>
      <w:r>
        <w:rPr>
          <w:rFonts w:hint="eastAsia" w:ascii="ＭＳ 明朝" w:hAnsi="ＭＳ 明朝" w:eastAsia="ＭＳ 明朝"/>
          <w:b w:val="0"/>
          <w:i w:val="0"/>
          <w:strike w:val="0"/>
          <w:color w:val="FF0000"/>
          <w:sz w:val="24"/>
          <w:u w:val="none" w:color="auto"/>
        </w:rPr>
        <w:t>限度</w:t>
      </w:r>
      <w:r>
        <w:rPr>
          <w:rFonts w:hint="default" w:ascii="ＭＳ 明朝" w:hAnsi="ＭＳ 明朝" w:eastAsia="ＭＳ 明朝"/>
          <w:b w:val="0"/>
          <w:i w:val="0"/>
          <w:strike w:val="0"/>
          <w:color w:val="FF0000"/>
          <w:sz w:val="24"/>
          <w:u w:val="none" w:color="auto"/>
        </w:rPr>
        <w:t>とする。</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対象経費に１，０００円未満の端数が生じたときは、その端数を切り捨てた額を補助金とする。</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３　事業を複数の補助対象団体が共同して実施する場合の補助金の額は、第１項のとおりとする。</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４　補助対象団体は、年度内に複数回補助金の交付を受けることはできない。</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（補助金の交付申請）</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第６条　補助金の交付を受けようとする補助対象団体の代表者は、毛呂山町地域コミュニティづくり補助金交付申請書（様式第１号）を、町長に提出しなければならない。</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（補助金の交付の決定及び通知）</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第７条　町長は、前条の規定による申請書が提出された場合は、補助金の交付の可否を審査し、交付と決定したときは、毛呂山町地域コミュニティづくり補助金交付決定通知書（様式第２号）により申請者に通知するものとする。</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（計画変更）</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第８条　前条の規定により補助金の交付決定を受けた補助対象団体の代表者は、交付決定を受けた後において補助対象事業の計画変更（廃止及び中止を含む。）をする場合は、町長へ事業変更承認申請書（様式第３号）を提出し、承認を受けなければならない。</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（変更決定通知）</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第９条　町長は、前条の規定により当該補助金等の変更を承認したときは、変更決定通知書（様式第４号）により、通知するものとする。</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（実績報告）</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第１０条　補助金の交付決定を受けた補助対象団体の代表者は、補助対象事業を完了又は中止したときは、その日から起算して３０日又は当該事業年度の末日のいずれか早い期日までに、事業実績報告書（様式第５号）に領収書の写し等の添付資料を添えて、町長に提出しなければならない。</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（額の確定及び交付）</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第１１条　町長は、前条の規定による実績報告書が提出されたときは、その内容を審査し、適当と認めたときは、交付すべき補助金の額を確定し、補助金交付額確定通知書（様式６号）により通知するものとする。</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補助対象団体の代表者は、前項の規定による通知を受けた場合は、補助金交付請求書（様式第７号）を町長に提出しなければならない。</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３　町長は、補助金交付の目的を達成するため、特に必要があると認めるときは、前条及び前２項の規定にかかわらず、補助金の全部又は一部を概算払により交付することができる。</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（補助金の返還等）</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第１２条　町長は、この補助金の交付決定又は交付を受けた補助対象団体が、この要綱に違反又は虚偽の申請等を行ったと認めたときは、交付決定を取り消し、又は補助金の全部若しくは一部の返還を求めることができる。</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（その他）</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第１３条　この要綱に定めるもののほか必要な事項は別に定める。</w:t>
      </w:r>
    </w:p>
    <w:p>
      <w:pPr>
        <w:pStyle w:val="0"/>
        <w:spacing w:before="0" w:beforeLines="0" w:beforeAutospacing="0" w:after="0" w:afterLines="0" w:afterAutospacing="0" w:line="240" w:lineRule="atLeast"/>
        <w:ind w:left="72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附　則</w:t>
      </w:r>
    </w:p>
    <w:p>
      <w:pPr>
        <w:pStyle w:val="0"/>
        <w:spacing w:before="0" w:beforeLines="0" w:beforeAutospacing="0" w:after="0" w:afterLines="0" w:afterAutospacing="0" w:line="240" w:lineRule="atLeast"/>
        <w:ind w:left="0" w:right="0" w:firstLine="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この告示は、平成２８年４月１日から施行する。</w:t>
      </w:r>
    </w:p>
    <w:p>
      <w:pPr>
        <w:pStyle w:val="0"/>
        <w:spacing w:before="0" w:beforeLines="0" w:beforeAutospacing="0" w:after="0" w:afterLines="0" w:afterAutospacing="0" w:line="240" w:lineRule="atLeast"/>
        <w:ind w:left="72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附　則（令和４年告示第５５号）</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（施行期日）</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１　この告示は、令和４年４月１日から施行する。</w:t>
      </w:r>
    </w:p>
    <w:p>
      <w:pPr>
        <w:pStyle w:val="0"/>
        <w:spacing w:before="0" w:beforeLines="0" w:beforeAutospacing="0" w:after="0" w:afterLines="0" w:afterAutospacing="0" w:line="24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（経過措置）</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この告示の施行の際、この告示の規定による改正前の様式による用紙で、現に残存するものは、当分の間、所要の調整をして使用することができる。</w:t>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line="24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745480" cy="824357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745480" cy="8243570"/>
                    </a:xfrm>
                    <a:prstGeom prst="rect">
                      <a:avLst/>
                    </a:prstGeom>
                    <a:noFill/>
                    <a:ln>
                      <a:miter/>
                    </a:ln>
                  </pic:spPr>
                </pic:pic>
              </a:graphicData>
            </a:graphic>
          </wp:inline>
        </w:drawing>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line="24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745480" cy="834517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745480" cy="8345170"/>
                    </a:xfrm>
                    <a:prstGeom prst="rect">
                      <a:avLst/>
                    </a:prstGeom>
                    <a:noFill/>
                    <a:ln>
                      <a:miter/>
                    </a:ln>
                  </pic:spPr>
                </pic:pic>
              </a:graphicData>
            </a:graphic>
          </wp:inline>
        </w:drawing>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line="24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745480" cy="824357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5745480" cy="8243570"/>
                    </a:xfrm>
                    <a:prstGeom prst="rect">
                      <a:avLst/>
                    </a:prstGeom>
                    <a:noFill/>
                    <a:ln>
                      <a:miter/>
                    </a:ln>
                  </pic:spPr>
                </pic:pic>
              </a:graphicData>
            </a:graphic>
          </wp:inline>
        </w:drawing>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line="24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745480" cy="834517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5745480" cy="8345170"/>
                    </a:xfrm>
                    <a:prstGeom prst="rect">
                      <a:avLst/>
                    </a:prstGeom>
                    <a:noFill/>
                    <a:ln>
                      <a:miter/>
                    </a:ln>
                  </pic:spPr>
                </pic:pic>
              </a:graphicData>
            </a:graphic>
          </wp:inline>
        </w:drawing>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line="24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745480" cy="824357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5745480" cy="8243570"/>
                    </a:xfrm>
                    <a:prstGeom prst="rect">
                      <a:avLst/>
                    </a:prstGeom>
                    <a:noFill/>
                    <a:ln>
                      <a:miter/>
                    </a:ln>
                  </pic:spPr>
                </pic:pic>
              </a:graphicData>
            </a:graphic>
          </wp:inline>
        </w:drawing>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line="24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745480" cy="834517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745480" cy="8345170"/>
                    </a:xfrm>
                    <a:prstGeom prst="rect">
                      <a:avLst/>
                    </a:prstGeom>
                    <a:noFill/>
                    <a:ln>
                      <a:miter/>
                    </a:ln>
                  </pic:spPr>
                </pic:pic>
              </a:graphicData>
            </a:graphic>
          </wp:inline>
        </w:drawing>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line="240" w:lineRule="atLeast"/>
        <w:ind w:left="0" w:right="0" w:firstLine="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drawing>
          <wp:inline>
            <wp:extent cx="5745480" cy="834517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5745480" cy="8345170"/>
                    </a:xfrm>
                    <a:prstGeom prst="rect">
                      <a:avLst/>
                    </a:prstGeom>
                    <a:noFill/>
                    <a:ln>
                      <a:miter/>
                    </a:ln>
                  </pic:spPr>
                </pic:pic>
              </a:graphicData>
            </a:graphic>
          </wp:inline>
        </w:drawing>
      </w:r>
    </w:p>
    <w:p>
      <w:pPr>
        <w:rPr>
          <w:rFonts w:hint="default"/>
        </w:rPr>
        <w:sectPr>
          <w:pgSz w:w="11905" w:h="16837"/>
          <w:pgMar w:top="1417" w:right="1417" w:bottom="1417" w:left="1417" w:header="720" w:footer="720" w:gutter="0"/>
          <w:cols w:space="720"/>
          <w:textDirection w:val="lrTb"/>
          <w:docGrid w:type="linesAndChars" w:linePitch="466" w:charSpace="2252"/>
        </w:sectPr>
      </w:pP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様式第１号（第６条関係）</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様式第２号（第７条関係）</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様式第３号（第８条関係）</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様式第４号（第９条関係）</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様式第５号（第１０条関係）</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様式第６号（第１１条関係）</w:t>
      </w:r>
    </w:p>
    <w:p>
      <w:pPr>
        <w:pStyle w:val="0"/>
        <w:spacing w:before="0" w:beforeLines="0" w:beforeAutospacing="0" w:after="0" w:afterLines="0" w:afterAutospacing="0" w:line="24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様式第７号（第１１条関係）</w:t>
      </w:r>
    </w:p>
    <w:p>
      <w:pPr>
        <w:pStyle w:val="0"/>
        <w:spacing w:line="240" w:lineRule="atLeast"/>
        <w:ind w:left="0" w:right="0" w:firstLine="0"/>
        <w:jc w:val="left"/>
        <w:rPr>
          <w:rFonts w:hint="eastAsia" w:ascii="ＭＳ 明朝" w:hAnsi="ＭＳ 明朝" w:eastAsia="ＭＳ 明朝"/>
          <w:b w:val="0"/>
          <w:i w:val="0"/>
          <w:color w:val="000000"/>
        </w:rPr>
      </w:pPr>
      <w:bookmarkStart w:id="1" w:name="last"/>
      <w:bookmarkEnd w:id="1"/>
    </w:p>
    <w:sectPr>
      <w:pgSz w:w="11905" w:h="16837"/>
      <w:pgMar w:top="1417" w:right="1417" w:bottom="1417" w:left="1417" w:header="720" w:footer="720" w:gutter="0"/>
      <w:cols w:space="720"/>
      <w:textDirection w:val="lrTb"/>
      <w:docGrid w:type="linesAndChars" w:linePitch="466"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51"/>
  <w:drawingGridVerticalSpacing w:val="466"/>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openxmlformats.org/officeDocument/2006/relationships/image" Target="media/image7.png"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11</Pages>
  <Words>10</Words>
  <Characters>2003</Characters>
  <Application>JUST Note</Application>
  <Lines>105</Lines>
  <Paragraphs>59</Paragraphs>
  <CharactersWithSpaces>2036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2026-03-24T02:58:00Z</dcterms:created>
  <dcterms:modified xsi:type="dcterms:W3CDTF">2026-03-24T03:00:21Z</dcterms:modified>
  <cp:revision>1</cp:revision>
</cp:coreProperties>
</file>